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Self-Efficacy and Academic Growth in Secondary Education</w:t>
      </w:r>
    </w:p>
    <w:p>
      <w:pPr>
        <w:pStyle w:val="Heading1"/>
      </w:pPr>
      <w:r>
        <w:t>Chapter 1: Introduction</w:t>
      </w:r>
    </w:p>
    <w:p>
      <w:r>
        <w:t>Educational researchers have long investigated the mechanisms underlying student motivation and academic achievement (Bandura, 1977). According to cognitive developmental theory, learning occurs within a social context where scaffolding bridges the zone of proximal development (Vygotsky, 1978; Zimmerman, 2000). However, recent investigations highlight inconsistent outcomes across non-traditional learning environments (Smith &amp; Johnson, 2021).</w:t>
      </w:r>
    </w:p>
    <w:p>
      <w:r>
        <w:t>Furthermore, self-regulated learning strategies significantly predict long-term performance across diverse demographic groups (Zimmerman, 2000). Despite these established findings, limited empirical work examines the role of digital feedback mechanisms.</w:t>
      </w:r>
    </w:p>
    <w:p>
      <w:pPr>
        <w:pStyle w:val="Heading1"/>
      </w:pPr>
      <w:r>
        <w:t>References</w:t>
      </w:r>
    </w:p>
    <w:p>
      <w:r>
        <w:t>Bandura, A. (1977). Self-efficacy: Toward a unifying theory of behavioral change. Psychological Review, 84(2), 191-215. https://doi.org/10.1037/0033-295X.84.2.191</w:t>
      </w:r>
    </w:p>
    <w:p>
      <w:r>
        <w:t>Vygotsky, L. S. (1978). Mind in society: The development of higher psychological processes. Harvard University Press.</w:t>
      </w:r>
    </w:p>
    <w:p>
      <w:r>
        <w:t>Zimmerman, B. J. (2000). Attaining self-regulation: A social cognitive perspective. In Handbook of self-regulation (pp. 13-39). Academic Press. https://doi.org/10.1016/B978-012109890-2/50031-7</w:t>
      </w:r>
    </w:p>
    <w:p>
      <w:r>
        <w:t>Smith, J. A., &amp; Johnson, R. B. (2021). Digital interventions in secondary schools. Journal of Educational Psychology, 113(4), 850-865. https://doi.org/10.1037/edu0000999</w:t>
      </w:r>
    </w:p>
    <w:p>
      <w:r>
        <w:t>Unused, A. B. (2019). An uncited study in the bibliography. Journal of Irreproducible Research, 10(1), 1-10.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