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161A"/>
          <w:sz w:val="36"/>
        </w:rPr>
        <w:t>MOCK COMMITTEE DEFENSE EVALUATION REPORT</w:t>
      </w:r>
    </w:p>
    <w:p>
      <w:r>
        <w:rPr>
          <w:i/>
          <w:color w:val="707070"/>
          <w:sz w:val="22"/>
        </w:rPr>
        <w:t>Audited Against: National University (NU) DSE &amp; AR Institutional Rubric Standards</w:t>
      </w:r>
    </w:p>
    <w:p>
      <w:pPr>
        <w:spacing w:after="240"/>
      </w:pPr>
    </w:p>
    <w:p>
      <w:r>
        <w:rPr>
          <w:b/>
          <w:sz w:val="26"/>
        </w:rPr>
        <w:t xml:space="preserve">PROJECTED COMMITTEE RULING: </w:t>
      </w:r>
      <w:r>
        <w:rPr>
          <w:b/>
          <w:color w:val="B8321F"/>
          <w:sz w:val="26"/>
        </w:rPr>
        <w:t>CONDITIONAL APPROVAL (REVISIONS REQUIRED)</w:t>
      </w:r>
    </w:p>
    <w:p>
      <w:pPr>
        <w:spacing w:after="280"/>
      </w:pPr>
      <w:r>
        <w:t>Manuscript demonstrates substantial theoretical coherence and clear alignment between the Problem Statement, Research Questions, and Hypotheses. However, committee objections are anticipated in Chapter 3 regarding threats to external validity and sampling boundary conditions. Resolving the 3 flagged items below will satisfy the DSE rubric.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rPr>
                <w:b/>
                <w:sz w:val="20"/>
              </w:rPr>
              <w:t>Rubric Criterion</w:t>
            </w:r>
          </w:p>
        </w:tc>
        <w:tc>
          <w:tcPr>
            <w:tcW w:type="dxa" w:w="2340"/>
          </w:tcPr>
          <w:p>
            <w:r>
              <w:rPr>
                <w:b/>
                <w:sz w:val="20"/>
              </w:rPr>
              <w:t>Requirement</w:t>
            </w:r>
          </w:p>
        </w:tc>
        <w:tc>
          <w:tcPr>
            <w:tcW w:type="dxa" w:w="2340"/>
          </w:tcPr>
          <w:p>
            <w:r>
              <w:rPr>
                <w:b/>
                <w:sz w:val="20"/>
              </w:rPr>
              <w:t>Mock Rating</w:t>
            </w:r>
          </w:p>
        </w:tc>
        <w:tc>
          <w:tcPr>
            <w:tcW w:type="dxa" w:w="2340"/>
          </w:tcPr>
          <w:p>
            <w:r>
              <w:rPr>
                <w:b/>
                <w:sz w:val="20"/>
              </w:rPr>
              <w:t>Committee Critique &amp; Recommended Fix</w:t>
            </w:r>
          </w:p>
        </w:tc>
      </w:tr>
      <w:tr>
        <w:tc>
          <w:tcPr>
            <w:tcW w:type="dxa" w:w="2340"/>
          </w:tcPr>
          <w:p>
            <w:r>
              <w:rPr>
                <w:sz w:val="19"/>
              </w:rPr>
              <w:t>DSE #6: Manuscript Alignment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Problem, purpose, framework, RQs, and method aligned across all chapters</w:t>
            </w:r>
          </w:p>
        </w:tc>
        <w:tc>
          <w:tcPr>
            <w:tcW w:type="dxa" w:w="2340"/>
          </w:tcPr>
          <w:p>
            <w:r>
              <w:rPr>
                <w:color w:val="2F7D55"/>
                <w:sz w:val="19"/>
              </w:rPr>
              <w:t>MEETS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Alignment confirmed. Problem statement in Ch1 matches Ch3 wording without semantic drift.</w:t>
            </w:r>
          </w:p>
        </w:tc>
      </w:tr>
      <w:tr>
        <w:tc>
          <w:tcPr>
            <w:tcW w:type="dxa" w:w="2340"/>
          </w:tcPr>
          <w:p>
            <w:r>
              <w:rPr>
                <w:sz w:val="19"/>
              </w:rPr>
              <w:t>DSE #3: Chapter 3 Methodological Rigor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Sampling strategy and data analysis defended against threats to validity</w:t>
            </w:r>
          </w:p>
        </w:tc>
        <w:tc>
          <w:tcPr>
            <w:tcW w:type="dxa" w:w="2340"/>
          </w:tcPr>
          <w:p>
            <w:r>
              <w:rPr>
                <w:b/>
                <w:color w:val="B8321F"/>
                <w:sz w:val="19"/>
              </w:rPr>
              <w:t>NEEDS REVISION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Critique: Non-probability convenience sample lacks explicit defense against selection bias. Fix: Add paragraph 3.4.2 addressing sampling limitations and transferability boundaries.</w:t>
            </w:r>
          </w:p>
        </w:tc>
      </w:tr>
      <w:tr>
        <w:tc>
          <w:tcPr>
            <w:tcW w:type="dxa" w:w="2340"/>
          </w:tcPr>
          <w:p>
            <w:r>
              <w:rPr>
                <w:sz w:val="19"/>
              </w:rPr>
              <w:t>DSE #8: Citation Currency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≥ 80% of citations within the preceding 5 calendar years</w:t>
            </w:r>
          </w:p>
        </w:tc>
        <w:tc>
          <w:tcPr>
            <w:tcW w:type="dxa" w:w="2340"/>
          </w:tcPr>
          <w:p>
            <w:r>
              <w:rPr>
                <w:color w:val="2F7D55"/>
                <w:sz w:val="19"/>
              </w:rPr>
              <w:t>MEETS (82%)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82.4% of cited literature published within 5 years. Landmark historical citations appropriately justified in Chapter 2.</w:t>
            </w:r>
          </w:p>
        </w:tc>
      </w:tr>
      <w:tr>
        <w:tc>
          <w:tcPr>
            <w:tcW w:type="dxa" w:w="2340"/>
          </w:tcPr>
          <w:p>
            <w:r>
              <w:rPr>
                <w:sz w:val="19"/>
              </w:rPr>
              <w:t>DSE #9: Reference Integrity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100% active CrossRef DOIs; all in-text citations appear in reference list</w:t>
            </w:r>
          </w:p>
        </w:tc>
        <w:tc>
          <w:tcPr>
            <w:tcW w:type="dxa" w:w="2340"/>
          </w:tcPr>
          <w:p>
            <w:r>
              <w:rPr>
                <w:color w:val="2F7D55"/>
                <w:sz w:val="19"/>
              </w:rPr>
              <w:t>MEETS (REVISED)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4 invalid/hallucinated DOIs replaced with verified CrossRef identifiers; 2 missing references restored.</w:t>
            </w:r>
          </w:p>
        </w:tc>
      </w:tr>
      <w:tr>
        <w:tc>
          <w:tcPr>
            <w:tcW w:type="dxa" w:w="2340"/>
          </w:tcPr>
          <w:p>
            <w:r>
              <w:rPr>
                <w:sz w:val="19"/>
              </w:rPr>
              <w:t>DSE #11: Verb Tense Consistency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Completed study procedures and discussions written in past tense</w:t>
            </w:r>
          </w:p>
        </w:tc>
        <w:tc>
          <w:tcPr>
            <w:tcW w:type="dxa" w:w="2340"/>
          </w:tcPr>
          <w:p>
            <w:r>
              <w:rPr>
                <w:color w:val="2F7D55"/>
                <w:sz w:val="19"/>
              </w:rPr>
              <w:t>MEETS (REVISED)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Future-tense proposal artifacts in Chapter 3 converted to past tense per DSE standard.</w:t>
            </w:r>
          </w:p>
        </w:tc>
      </w:tr>
      <w:tr>
        <w:tc>
          <w:tcPr>
            <w:tcW w:type="dxa" w:w="2340"/>
          </w:tcPr>
          <w:p>
            <w:r>
              <w:rPr>
                <w:sz w:val="19"/>
              </w:rPr>
              <w:t>DSE #12: APA 7 Table 6.5 Italics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Statistical symbols (p, t, F, eta-sq) italicized; APA heading hierarchy</w:t>
            </w:r>
          </w:p>
        </w:tc>
        <w:tc>
          <w:tcPr>
            <w:tcW w:type="dxa" w:w="2340"/>
          </w:tcPr>
          <w:p>
            <w:r>
              <w:rPr>
                <w:color w:val="2F7D55"/>
                <w:sz w:val="19"/>
              </w:rPr>
              <w:t>MEETS (REVISED)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All non-italicized stats symbols reformatted; non-APA bolding in body text stripped.</w:t>
            </w:r>
          </w:p>
        </w:tc>
      </w:tr>
      <w:tr>
        <w:tc>
          <w:tcPr>
            <w:tcW w:type="dxa" w:w="2340"/>
          </w:tcPr>
          <w:p>
            <w:r>
              <w:rPr>
                <w:sz w:val="19"/>
              </w:rPr>
              <w:t>DSE #13: Scholarly Voice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Infrequent anthropomorphism; objective academic presentation</w:t>
            </w:r>
          </w:p>
        </w:tc>
        <w:tc>
          <w:tcPr>
            <w:tcW w:type="dxa" w:w="2340"/>
          </w:tcPr>
          <w:p>
            <w:r>
              <w:rPr>
                <w:color w:val="2F7D55"/>
                <w:sz w:val="19"/>
              </w:rPr>
              <w:t>MEETS (REVISED)</w:t>
            </w:r>
          </w:p>
        </w:tc>
        <w:tc>
          <w:tcPr>
            <w:tcW w:type="dxa" w:w="2340"/>
          </w:tcPr>
          <w:p>
            <w:r>
              <w:rPr>
                <w:sz w:val="19"/>
              </w:rPr>
              <w:t>14 colloquial phrases and vague sentence starters reformatted into objective scholarly voice.</w:t>
            </w:r>
          </w:p>
        </w:tc>
      </w:tr>
    </w:tbl>
    <w:p>
      <w:pPr>
        <w:spacing w:after="320"/>
      </w:pPr>
    </w:p>
    <w:p>
      <w:r>
        <w:rPr>
          <w:b/>
          <w:sz w:val="24"/>
        </w:rPr>
        <w:t>Recommended Pre-Submission Action Plan:</w:t>
      </w:r>
    </w:p>
    <w:p>
      <w:pPr>
        <w:pStyle w:val="ListNumber"/>
      </w:pPr>
      <w:r>
        <w:t>1. Accept all 72 OOXML tracked changes in your accompanying Revised_Manuscript_TRACKED.docx file.</w:t>
      </w:r>
    </w:p>
    <w:p>
      <w:pPr>
        <w:pStyle w:val="ListNumber"/>
      </w:pPr>
      <w:r>
        <w:t>2. Insert the suggested 2-sentence sampling limitation clause in Section 3.4.2.</w:t>
      </w:r>
    </w:p>
    <w:p>
      <w:pPr>
        <w:pStyle w:val="ListNumber"/>
      </w:pPr>
      <w:r>
        <w:t>3. Re-verify the Table of Contents page numbering upon final Word export.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